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itoloprincipale"/>
        <w:pageBreakBefore/>
        <w:numPr>
          <w:ilvl w:val="0"/>
          <w:numId w:val="1"/>
        </w:numPr>
        <w:spacing w:before="240" w:after="240"/>
        <w:rPr>
          <w:rFonts w:ascii="Titillium" w:hAnsi="Titillium"/>
          <w:sz w:val="20"/>
          <w:szCs w:val="20"/>
        </w:rPr>
      </w:pPr>
      <w:r>
        <w:rPr/>
        <w:t xml:space="preserve">Scheda di sintesi sulla rilevazione degli OIV o </w:t>
      </w:r>
      <w:r>
        <w:rPr>
          <w:rFonts w:ascii="Titillium" w:hAnsi="Titillium"/>
          <w:sz w:val="20"/>
          <w:szCs w:val="20"/>
        </w:rPr>
        <w:t>organismi con funzioni analoghe</w:t>
      </w:r>
    </w:p>
    <w:p>
      <w:pPr>
        <w:pStyle w:val="ListParagraph"/>
        <w:ind w:left="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right="0" w:hanging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>
      <w:pPr>
        <w:pStyle w:val="ListParagraph"/>
        <w:spacing w:lineRule="auto" w:line="276" w:before="0" w:after="0"/>
        <w:ind w:left="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Indicare la data di svolgimento della rilevazione nel formato gg/mm/aaaa.</w:t>
      </w:r>
    </w:p>
    <w:p>
      <w:pPr>
        <w:pStyle w:val="ListParagraph"/>
        <w:spacing w:lineRule="auto" w:line="276"/>
        <w:ind w:left="0" w:right="0" w:hanging="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</w:rPr>
        <w:t xml:space="preserve">Indicare la </w:t>
      </w:r>
      <w:r>
        <w:rPr>
          <w:rFonts w:ascii="Titillium" w:hAnsi="Titillium"/>
          <w:sz w:val="20"/>
          <w:szCs w:val="20"/>
          <w:u w:val="single"/>
        </w:rPr>
        <w:t>data di inizio e di fine</w:t>
      </w:r>
      <w:r>
        <w:rPr>
          <w:rFonts w:ascii="Titillium" w:hAnsi="Titillium"/>
          <w:sz w:val="20"/>
          <w:szCs w:val="20"/>
        </w:rPr>
        <w:t xml:space="preserve"> della rilevazione.</w:t>
      </w:r>
      <w:r>
        <w:rPr>
          <w:rFonts w:ascii="Titillium" w:hAnsi="Titillium"/>
          <w:sz w:val="20"/>
          <w:szCs w:val="20"/>
          <w:u w:val="single"/>
        </w:rPr>
        <w:t xml:space="preserve"> 28/06/2022 – 30/06/2022</w:t>
      </w:r>
    </w:p>
    <w:p>
      <w:pPr>
        <w:pStyle w:val="ListParagraph"/>
        <w:spacing w:lineRule="auto" w:line="276"/>
        <w:ind w:left="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before="0" w:after="0"/>
        <w:ind w:left="0" w:right="0" w:hanging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Estensione della rilevazione (nel solo caso di amministrazioni/enti con uffici periferici)</w:t>
      </w:r>
    </w:p>
    <w:p>
      <w:pPr>
        <w:pStyle w:val="ListParagraph"/>
        <w:spacing w:before="0" w:after="0"/>
        <w:ind w:left="0" w:right="0" w:hanging="0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ListParagraph"/>
        <w:spacing w:lineRule="auto" w:line="360" w:before="0" w:after="0"/>
        <w:ind w:left="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Indicare il numero complessivo degli uffici periferici esiste</w:t>
      </w:r>
      <w:bookmarkStart w:id="0" w:name="_GoBack"/>
      <w:bookmarkEnd w:id="0"/>
      <w:r>
        <w:rPr>
          <w:rFonts w:ascii="Titillium" w:hAnsi="Titillium"/>
          <w:sz w:val="20"/>
          <w:szCs w:val="20"/>
        </w:rPr>
        <w:t>nti e, se diverse, le tipologie di uffici periferici.</w:t>
      </w:r>
    </w:p>
    <w:p>
      <w:pPr>
        <w:pStyle w:val="ListParagraph"/>
        <w:spacing w:lineRule="auto" w:line="360" w:before="0" w:after="0"/>
        <w:ind w:left="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Per la formazione del campione di uffici periferici su cui effettuare la rilevazione, indicare il criterio di selezione del campione.</w:t>
      </w:r>
    </w:p>
    <w:p>
      <w:pPr>
        <w:pStyle w:val="Normal"/>
        <w:tabs>
          <w:tab w:val="left" w:pos="0" w:leader="none"/>
        </w:tabs>
        <w:spacing w:lineRule="auto" w:line="360" w:before="0" w:after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Riportare l’elenco degli uffici periferici selezionati.</w:t>
      </w:r>
    </w:p>
    <w:p>
      <w:pPr>
        <w:pStyle w:val="ListParagraph"/>
        <w:spacing w:lineRule="auto" w:line="276" w:before="0" w:after="0"/>
        <w:ind w:left="72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</w:r>
    </w:p>
    <w:p>
      <w:pPr>
        <w:pStyle w:val="ListParagraph"/>
        <w:spacing w:lineRule="auto" w:line="360"/>
        <w:ind w:left="0" w:right="0" w:hanging="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>
      <w:pPr>
        <w:pStyle w:val="ListParagraph"/>
        <w:spacing w:lineRule="auto" w:line="360" w:before="0" w:after="0"/>
        <w:ind w:left="0" w:right="0" w:hanging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Indicare il procedimento e le modalità seguite per condurre la rilevazione. </w:t>
      </w:r>
    </w:p>
    <w:p>
      <w:pPr>
        <w:pStyle w:val="Default"/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A titolo esemplificativo e non esaustivo, si indicano alcune modalità, non alternative fra loro, che potrebbero essere seguite: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 responsabili della trasmissione dei dati;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colloqui con i responsabili della pubblicazione dei dati;</w:t>
      </w:r>
    </w:p>
    <w:p>
      <w:pPr>
        <w:pStyle w:val="Default"/>
        <w:numPr>
          <w:ilvl w:val="0"/>
          <w:numId w:val="2"/>
        </w:numPr>
        <w:tabs>
          <w:tab w:val="left" w:pos="0" w:leader="none"/>
        </w:tabs>
        <w:spacing w:lineRule="auto" w:line="360"/>
        <w:jc w:val="both"/>
        <w:rPr>
          <w:rFonts w:ascii="Titillium" w:hAnsi="Titillium"/>
          <w:sz w:val="20"/>
          <w:szCs w:val="20"/>
        </w:rPr>
      </w:pPr>
      <w:bookmarkStart w:id="1" w:name="__DdeLink__4159_1950832963"/>
      <w:bookmarkEnd w:id="1"/>
      <w:r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>
      <w:pPr>
        <w:pStyle w:val="Normal"/>
        <w:spacing w:lineRule="auto" w:line="360"/>
        <w:rPr>
          <w:rFonts w:ascii="Titillium" w:hAnsi="Titillium"/>
          <w:sz w:val="20"/>
          <w:szCs w:val="20"/>
          <w:u w:val="single"/>
        </w:rPr>
      </w:pPr>
      <w:r>
        <w:rPr>
          <w:rFonts w:ascii="Titillium" w:hAnsi="Titillium"/>
          <w:sz w:val="20"/>
          <w:szCs w:val="20"/>
          <w:u w:val="single"/>
        </w:rPr>
        <w:t>La rilevazione è avvenuta tramite verifica diretta sul sito istituzionale, anche attraverso l’utilizzo di supporti informatici.</w:t>
      </w:r>
    </w:p>
    <w:p>
      <w:pPr>
        <w:pStyle w:val="Normal"/>
        <w:spacing w:lineRule="auto" w:line="36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>
      <w:pPr>
        <w:pStyle w:val="Normal"/>
        <w:spacing w:lineRule="auto" w:line="360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spacing w:lineRule="auto" w:line="360"/>
        <w:rPr>
          <w:rFonts w:ascii="Titillium" w:hAnsi="Titillium"/>
          <w:b/>
          <w:sz w:val="20"/>
          <w:szCs w:val="20"/>
          <w:u w:val="single"/>
        </w:rPr>
      </w:pPr>
      <w:r>
        <w:rPr>
          <w:rFonts w:ascii="Titillium" w:hAnsi="Titillium"/>
          <w:b/>
          <w:sz w:val="20"/>
          <w:szCs w:val="20"/>
          <w:u w:val="single"/>
        </w:rPr>
      </w:r>
    </w:p>
    <w:p>
      <w:pPr>
        <w:pStyle w:val="Normal"/>
        <w:spacing w:lineRule="auto" w:line="360" w:before="0" w:after="120"/>
        <w:rPr>
          <w:rFonts w:ascii="Titillium" w:hAnsi="Titillium"/>
          <w:b/>
          <w:i/>
          <w:sz w:val="20"/>
          <w:szCs w:val="20"/>
        </w:rPr>
      </w:pPr>
      <w:r>
        <w:rPr>
          <w:rFonts w:ascii="Titillium" w:hAnsi="Titillium"/>
          <w:b/>
          <w:i/>
          <w:sz w:val="20"/>
          <w:szCs w:val="20"/>
        </w:rPr>
        <w:t>Eventuale documentazione da allegare</w:t>
      </w:r>
    </w:p>
    <w:sectPr>
      <w:headerReference w:type="default" r:id="rId2"/>
      <w:type w:val="nextPage"/>
      <w:pgSz w:w="11906" w:h="16838"/>
      <w:pgMar w:left="1134" w:right="1134" w:header="708" w:top="1417" w:footer="0" w:bottom="708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tillium">
    <w:charset w:val="00"/>
    <w:family w:val="roman"/>
    <w:pitch w:val="variable"/>
  </w:font>
  <w:font w:name="Garamond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Intestazione"/>
      <w:jc w:val="right"/>
      <w:rPr>
        <w:rFonts w:ascii="Garamond" w:hAnsi="Garamond"/>
        <w:b/>
      </w:rPr>
    </w:pPr>
    <w:r>
      <w:rPr>
        <w:rFonts w:ascii="Garamond" w:hAnsi="Garamond"/>
        <w:b/>
      </w:rPr>
      <w:drawing>
        <wp:anchor behindDoc="1" distT="0" distB="0" distL="114300" distR="114300" simplePos="0" locked="0" layoutInCell="1" allowOverlap="1" relativeHeight="0">
          <wp:simplePos x="0" y="0"/>
          <wp:positionH relativeFrom="margin">
            <wp:posOffset>-271145</wp:posOffset>
          </wp:positionH>
          <wp:positionV relativeFrom="paragraph">
            <wp:posOffset>453390</wp:posOffset>
          </wp:positionV>
          <wp:extent cx="2879725" cy="340995"/>
          <wp:effectExtent l="0" t="0" r="0" b="0"/>
          <wp:wrapSquare wrapText="bothSides"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Intestazione"/>
      <w:jc w:val="right"/>
      <w:rPr>
        <w:rFonts w:ascii="Garamond" w:hAnsi="Garamond"/>
        <w:b/>
      </w:rPr>
    </w:pPr>
    <w:r>
      <w:rPr>
        <w:rFonts w:ascii="Garamond" w:hAnsi="Garamond"/>
        <w:b/>
      </w:rPr>
    </w:r>
  </w:p>
  <w:p>
    <w:pPr>
      <w:pStyle w:val="Intestazione"/>
      <w:tabs>
        <w:tab w:val="left" w:pos="3878" w:leader="none"/>
        <w:tab w:val="center" w:pos="4819" w:leader="none"/>
        <w:tab w:val="right" w:pos="9638" w:leader="none"/>
      </w:tabs>
      <w:rPr>
        <w:rFonts w:ascii="Garamond" w:hAnsi="Garamond"/>
        <w:b/>
      </w:rPr>
    </w:pPr>
    <w:r>
      <w:rPr>
        <w:rFonts w:ascii="Garamond" w:hAnsi="Garamond"/>
        <w:b/>
      </w:rPr>
      <w:tab/>
      <w:tab/>
    </w:r>
  </w:p>
  <w:p>
    <w:pPr>
      <w:pStyle w:val="Intestazione"/>
      <w:jc w:val="right"/>
      <w:rPr>
        <w:rFonts w:cs="Times New Roman" w:ascii="Titillium" w:hAnsi="Titillium"/>
        <w:b/>
        <w:sz w:val="20"/>
        <w:szCs w:val="20"/>
      </w:rPr>
    </w:pPr>
    <w:r>
      <w:rPr>
        <w:rFonts w:ascii="Titillium" w:hAnsi="Titillium"/>
        <w:b/>
        <w:sz w:val="20"/>
        <w:szCs w:val="20"/>
      </w:rPr>
      <w:t xml:space="preserve">Allegato 3 alla </w:t>
    </w:r>
    <w:r>
      <w:rPr>
        <w:rFonts w:cs="Times New Roman" w:ascii="Titillium" w:hAnsi="Titillium"/>
        <w:b/>
        <w:sz w:val="20"/>
        <w:szCs w:val="20"/>
      </w:rPr>
      <w:t>delibera ANAC n. 201</w:t>
    </w:r>
    <w:bookmarkStart w:id="2" w:name="_GoBack1"/>
    <w:bookmarkEnd w:id="2"/>
    <w:r>
      <w:rPr>
        <w:rFonts w:cs="Times New Roman" w:ascii="Titillium" w:hAnsi="Titillium"/>
        <w:b/>
        <w:sz w:val="20"/>
        <w:szCs w:val="20"/>
      </w:rPr>
      <w:t>/2022</w:t>
    </w:r>
  </w:p>
  <w:p>
    <w:pPr>
      <w:pStyle w:val="Intestazione"/>
      <w:jc w:val="right"/>
      <w:rPr>
        <w:rFonts w:cs="Times New Roman" w:ascii="Garamond" w:hAnsi="Garamond"/>
        <w:b/>
      </w:rPr>
    </w:pPr>
    <w:r>
      <w:rPr>
        <w:rFonts w:cs="Times New Roman" w:ascii="Garamond" w:hAnsi="Garamond"/>
        <w:b/>
      </w:rPr>
    </w:r>
  </w:p>
  <w:p>
    <w:pPr>
      <w:pStyle w:val="Intestazione"/>
      <w:jc w:val="right"/>
      <w:rPr>
        <w:rFonts w:cs="Times New Roman" w:ascii="Garamond" w:hAnsi="Garamond"/>
        <w:b/>
      </w:rPr>
    </w:pPr>
    <w:r>
      <w:rPr>
        <w:rFonts w:cs="Times New Roman" w:ascii="Garamond" w:hAnsi="Garamond"/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it-IT" w:eastAsia="it-IT" w:bidi="ar-SA"/>
      </w:rPr>
    </w:rPrDefault>
    <w:pPrDefault>
      <w:pPr>
        <w:spacing w:lineRule="auto" w:line="27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pPr>
      <w:keepNext/>
      <w:widowControl w:val="false"/>
      <w:pBdr>
        <w:top w:val="nil"/>
        <w:left w:val="nil"/>
        <w:bottom w:val="nil"/>
        <w:right w:val="nil"/>
      </w:pBdr>
      <w:suppressAutoHyphens w:val="true"/>
      <w:bidi w:val="0"/>
      <w:spacing w:lineRule="atLeast" w:line="100" w:before="0" w:after="120"/>
      <w:jc w:val="both"/>
    </w:pPr>
    <w:rPr>
      <w:rFonts w:ascii="Times New Roman" w:hAnsi="Times New Roman" w:eastAsia="Times New Roman" w:cs="Cambria"/>
      <w:color w:val="00000A"/>
      <w:sz w:val="24"/>
      <w:szCs w:val="24"/>
      <w:lang w:val="it-IT" w:eastAsia="ar-SA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Footnotereference">
    <w:name w:val="footnote reference"/>
    <w:basedOn w:val="DefaultParagraphFont"/>
    <w:rPr>
      <w:sz w:val="14"/>
    </w:rPr>
  </w:style>
  <w:style w:type="character" w:styleId="TestonotaapidipaginaCarattere" w:customStyle="1">
    <w:name w:val="Testo nota a piè di pagina Carattere"/>
    <w:basedOn w:val="DefaultParagraphFont"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TestonotaapidipaginaCarattere1" w:customStyle="1">
    <w:name w:val="Testo nota a piè di pagina Carattere1"/>
    <w:basedOn w:val="DefaultParagraphFont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TitoloCarattere" w:customStyle="1">
    <w:name w:val="Titolo Carattere"/>
    <w:basedOn w:val="DefaultParagraphFont"/>
    <w:rPr>
      <w:rFonts w:ascii="Times New Roman" w:hAnsi="Times New Roman" w:eastAsia="Times New Roman" w:cs="Times New Roman"/>
      <w:b/>
      <w:bCs/>
      <w:i/>
      <w:sz w:val="36"/>
      <w:szCs w:val="32"/>
      <w:lang w:eastAsia="ar-SA"/>
    </w:rPr>
  </w:style>
  <w:style w:type="character" w:styleId="IntestazioneCarattere" w:customStyle="1">
    <w:name w:val="Intestazione Carattere"/>
    <w:basedOn w:val="DefaultParagraphFont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PidipaginaCarattere" w:customStyle="1">
    <w:name w:val="Piè di pagina Carattere"/>
    <w:basedOn w:val="DefaultParagraphFont"/>
    <w:rPr>
      <w:rFonts w:ascii="Times New Roman" w:hAnsi="Times New Roman" w:eastAsia="Times New Roman" w:cs="Cambria"/>
      <w:sz w:val="24"/>
      <w:szCs w:val="24"/>
      <w:lang w:eastAsia="ar-SA"/>
    </w:rPr>
  </w:style>
  <w:style w:type="character" w:styleId="Annotationreference">
    <w:name w:val="annotation reference"/>
    <w:basedOn w:val="DefaultParagraphFont"/>
    <w:rPr>
      <w:sz w:val="16"/>
      <w:szCs w:val="16"/>
    </w:rPr>
  </w:style>
  <w:style w:type="character" w:styleId="TestocommentoCarattere" w:customStyle="1">
    <w:name w:val="Testo commento Carattere"/>
    <w:basedOn w:val="DefaultParagraphFont"/>
    <w:rPr>
      <w:rFonts w:ascii="Times New Roman" w:hAnsi="Times New Roman" w:eastAsia="Times New Roman" w:cs="Cambria"/>
      <w:sz w:val="20"/>
      <w:szCs w:val="20"/>
      <w:lang w:eastAsia="ar-SA"/>
    </w:rPr>
  </w:style>
  <w:style w:type="character" w:styleId="SoggettocommentoCarattere" w:customStyle="1">
    <w:name w:val="Soggetto commento Carattere"/>
    <w:basedOn w:val="TestocommentoCarattere"/>
    <w:rPr>
      <w:rFonts w:ascii="Times New Roman" w:hAnsi="Times New Roman" w:eastAsia="Times New Roman" w:cs="Cambria"/>
      <w:b/>
      <w:bCs/>
      <w:sz w:val="20"/>
      <w:szCs w:val="20"/>
      <w:lang w:eastAsia="ar-SA"/>
    </w:rPr>
  </w:style>
  <w:style w:type="character" w:styleId="TestofumettoCarattere" w:customStyle="1">
    <w:name w:val="Testo fumetto Carattere"/>
    <w:basedOn w:val="DefaultParagraphFont"/>
    <w:rPr>
      <w:rFonts w:ascii="Tahoma" w:hAnsi="Tahoma" w:eastAsia="Times New Roman" w:cs="Tahoma"/>
      <w:sz w:val="16"/>
      <w:szCs w:val="16"/>
      <w:lang w:eastAsia="ar-SA"/>
    </w:rPr>
  </w:style>
  <w:style w:type="character" w:styleId="WWCharLFO13LVL1" w:customStyle="1">
    <w:name w:val="WW_CharLFO13LVL1"/>
    <w:rPr>
      <w:rFonts w:ascii="Times New Roman" w:hAnsi="Times New Roman" w:eastAsia="Times New Roman" w:cs="Times New Roman"/>
    </w:rPr>
  </w:style>
  <w:style w:type="character" w:styleId="WWCharLFO13LVL2" w:customStyle="1">
    <w:name w:val="WW_CharLFO13LVL2"/>
    <w:rPr>
      <w:rFonts w:ascii="Courier New" w:hAnsi="Courier New" w:cs="Courier New"/>
    </w:rPr>
  </w:style>
  <w:style w:type="character" w:styleId="WWCharLFO13LVL3" w:customStyle="1">
    <w:name w:val="WW_CharLFO13LVL3"/>
    <w:rPr>
      <w:rFonts w:ascii="Wingdings" w:hAnsi="Wingdings"/>
    </w:rPr>
  </w:style>
  <w:style w:type="character" w:styleId="WWCharLFO13LVL4" w:customStyle="1">
    <w:name w:val="WW_CharLFO13LVL4"/>
    <w:rPr>
      <w:rFonts w:ascii="Symbol" w:hAnsi="Symbol"/>
    </w:rPr>
  </w:style>
  <w:style w:type="character" w:styleId="WWCharLFO13LVL5" w:customStyle="1">
    <w:name w:val="WW_CharLFO13LVL5"/>
    <w:rPr>
      <w:rFonts w:ascii="Courier New" w:hAnsi="Courier New" w:cs="Courier New"/>
    </w:rPr>
  </w:style>
  <w:style w:type="character" w:styleId="WWCharLFO13LVL6" w:customStyle="1">
    <w:name w:val="WW_CharLFO13LVL6"/>
    <w:rPr>
      <w:rFonts w:ascii="Wingdings" w:hAnsi="Wingdings"/>
    </w:rPr>
  </w:style>
  <w:style w:type="character" w:styleId="WWCharLFO13LVL7" w:customStyle="1">
    <w:name w:val="WW_CharLFO13LVL7"/>
    <w:rPr>
      <w:rFonts w:ascii="Symbol" w:hAnsi="Symbol"/>
    </w:rPr>
  </w:style>
  <w:style w:type="character" w:styleId="WWCharLFO13LVL8" w:customStyle="1">
    <w:name w:val="WW_CharLFO13LVL8"/>
    <w:rPr>
      <w:rFonts w:ascii="Courier New" w:hAnsi="Courier New" w:cs="Courier New"/>
    </w:rPr>
  </w:style>
  <w:style w:type="character" w:styleId="WWCharLFO13LVL9" w:customStyle="1">
    <w:name w:val="WW_CharLFO13LVL9"/>
    <w:rPr>
      <w:rFonts w:ascii="Wingdings" w:hAnsi="Wingdings"/>
    </w:rPr>
  </w:style>
  <w:style w:type="character" w:styleId="WWCharLFO15LVL1" w:customStyle="1">
    <w:name w:val="WW_CharLFO15LVL1"/>
    <w:rPr>
      <w:rFonts w:ascii="Times New Roman" w:hAnsi="Times New Roman" w:eastAsia="Calibri" w:cs="Times New Roman"/>
      <w:sz w:val="20"/>
    </w:rPr>
  </w:style>
  <w:style w:type="character" w:styleId="WWCharLFO15LVL2" w:customStyle="1">
    <w:name w:val="WW_CharLFO15LVL2"/>
    <w:rPr>
      <w:rFonts w:ascii="Courier New" w:hAnsi="Courier New" w:cs="Courier New"/>
    </w:rPr>
  </w:style>
  <w:style w:type="character" w:styleId="WWCharLFO15LVL3" w:customStyle="1">
    <w:name w:val="WW_CharLFO15LVL3"/>
    <w:rPr>
      <w:rFonts w:ascii="Wingdings" w:hAnsi="Wingdings"/>
    </w:rPr>
  </w:style>
  <w:style w:type="character" w:styleId="WWCharLFO15LVL4" w:customStyle="1">
    <w:name w:val="WW_CharLFO15LVL4"/>
    <w:rPr>
      <w:rFonts w:ascii="Symbol" w:hAnsi="Symbol"/>
    </w:rPr>
  </w:style>
  <w:style w:type="character" w:styleId="WWCharLFO15LVL5" w:customStyle="1">
    <w:name w:val="WW_CharLFO15LVL5"/>
    <w:rPr>
      <w:rFonts w:ascii="Courier New" w:hAnsi="Courier New" w:cs="Courier New"/>
    </w:rPr>
  </w:style>
  <w:style w:type="character" w:styleId="WWCharLFO15LVL6" w:customStyle="1">
    <w:name w:val="WW_CharLFO15LVL6"/>
    <w:rPr>
      <w:rFonts w:ascii="Wingdings" w:hAnsi="Wingdings"/>
    </w:rPr>
  </w:style>
  <w:style w:type="character" w:styleId="WWCharLFO15LVL7" w:customStyle="1">
    <w:name w:val="WW_CharLFO15LVL7"/>
    <w:rPr>
      <w:rFonts w:ascii="Symbol" w:hAnsi="Symbol"/>
    </w:rPr>
  </w:style>
  <w:style w:type="character" w:styleId="WWCharLFO15LVL8" w:customStyle="1">
    <w:name w:val="WW_CharLFO15LVL8"/>
    <w:rPr>
      <w:rFonts w:ascii="Courier New" w:hAnsi="Courier New" w:cs="Courier New"/>
    </w:rPr>
  </w:style>
  <w:style w:type="character" w:styleId="WWCharLFO15LVL9" w:customStyle="1">
    <w:name w:val="WW_CharLFO15LVL9"/>
    <w:rPr>
      <w:rFonts w:ascii="Wingdings" w:hAnsi="Wingdings"/>
    </w:rPr>
  </w:style>
  <w:style w:type="character" w:styleId="Caratteredellanota" w:customStyle="1">
    <w:name w:val="Carattere della nota"/>
    <w:rPr/>
  </w:style>
  <w:style w:type="character" w:styleId="ListLabel1">
    <w:name w:val="ListLabel 1"/>
    <w:rPr>
      <w:rFonts w:cs="Times New Roman"/>
      <w:sz w:val="20"/>
    </w:rPr>
  </w:style>
  <w:style w:type="character" w:styleId="ListLabel2">
    <w:name w:val="ListLabel 2"/>
    <w:rPr>
      <w:rFonts w:cs="Courier New"/>
    </w:rPr>
  </w:style>
  <w:style w:type="character" w:styleId="ListLabel3">
    <w:name w:val="ListLabel 3"/>
    <w:rPr>
      <w:rFonts w:cs="Wingdings"/>
    </w:rPr>
  </w:style>
  <w:style w:type="character" w:styleId="ListLabel4">
    <w:name w:val="ListLabel 4"/>
    <w:rPr>
      <w:rFonts w:cs="Symbol"/>
    </w:rPr>
  </w:style>
  <w:style w:type="character" w:styleId="ListLabel5">
    <w:name w:val="ListLabel 5"/>
    <w:rPr>
      <w:rFonts w:eastAsia="Times New Roman" w:cs="Cambria"/>
    </w:rPr>
  </w:style>
  <w:style w:type="character" w:styleId="ListLabel6">
    <w:name w:val="ListLabel 6"/>
    <w:rPr>
      <w:rFonts w:cs="Times New Roman"/>
      <w:sz w:val="20"/>
    </w:rPr>
  </w:style>
  <w:style w:type="character" w:styleId="ListLabel7">
    <w:name w:val="ListLabel 7"/>
    <w:rPr>
      <w:rFonts w:cs="Courier New"/>
    </w:rPr>
  </w:style>
  <w:style w:type="character" w:styleId="ListLabel8">
    <w:name w:val="ListLabel 8"/>
    <w:rPr>
      <w:rFonts w:cs="Wingdings"/>
    </w:rPr>
  </w:style>
  <w:style w:type="character" w:styleId="ListLabel9">
    <w:name w:val="ListLabel 9"/>
    <w:rPr>
      <w:rFonts w:cs="Symbol"/>
    </w:rPr>
  </w:style>
  <w:style w:type="character" w:styleId="ListLabel10">
    <w:name w:val="ListLabel 10"/>
    <w:rPr>
      <w:rFonts w:cs="Times New Roman"/>
      <w:sz w:val="20"/>
    </w:rPr>
  </w:style>
  <w:style w:type="character" w:styleId="ListLabel11">
    <w:name w:val="ListLabel 11"/>
    <w:rPr>
      <w:rFonts w:cs="Courier New"/>
    </w:rPr>
  </w:style>
  <w:style w:type="character" w:styleId="ListLabel12">
    <w:name w:val="ListLabel 12"/>
    <w:rPr>
      <w:rFonts w:cs="Wingdings"/>
    </w:rPr>
  </w:style>
  <w:style w:type="character" w:styleId="ListLabel13">
    <w:name w:val="ListLabel 13"/>
    <w:rPr>
      <w:rFonts w:cs="Symbol"/>
    </w:rPr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 w:customStyle="1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Arial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Arial"/>
    </w:rPr>
  </w:style>
  <w:style w:type="paragraph" w:styleId="Footnotetext">
    <w:name w:val="footnote text"/>
    <w:basedOn w:val="Normal"/>
    <w:pPr/>
    <w:rPr/>
  </w:style>
  <w:style w:type="paragraph" w:styleId="ListParagraph">
    <w:name w:val="List Paragraph"/>
    <w:basedOn w:val="Normal"/>
    <w:pPr>
      <w:ind w:left="357" w:right="0" w:hanging="357"/>
    </w:pPr>
    <w:rPr/>
  </w:style>
  <w:style w:type="paragraph" w:styleId="Titoloprincipale">
    <w:name w:val="Titolo principale"/>
    <w:basedOn w:val="Normal"/>
    <w:autoRedefine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styleId="Intestazione">
    <w:name w:val="Intestazione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Pidipagina">
    <w:name w:val="Piè di pagina"/>
    <w:basedOn w:val="Normal"/>
    <w:pPr>
      <w:tabs>
        <w:tab w:val="center" w:pos="4819" w:leader="none"/>
        <w:tab w:val="right" w:pos="9638" w:leader="none"/>
      </w:tabs>
      <w:spacing w:before="0" w:after="0"/>
    </w:pPr>
    <w:rPr/>
  </w:style>
  <w:style w:type="paragraph" w:styleId="Default" w:customStyle="1">
    <w:name w:val="Default"/>
    <w:pPr>
      <w:keepNext/>
      <w:widowControl/>
      <w:pBdr>
        <w:top w:val="nil"/>
        <w:left w:val="nil"/>
        <w:bottom w:val="nil"/>
        <w:right w:val="nil"/>
      </w:pBdr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it-IT" w:eastAsia="en-US" w:bidi="ar-SA"/>
    </w:rPr>
  </w:style>
  <w:style w:type="paragraph" w:styleId="Annotationtext">
    <w:name w:val="annotation text"/>
    <w:basedOn w:val="Normal"/>
    <w:pPr/>
    <w:rPr>
      <w:sz w:val="20"/>
      <w:szCs w:val="20"/>
    </w:rPr>
  </w:style>
  <w:style w:type="paragraph" w:styleId="Annotationsubject">
    <w:name w:val="annotation subject"/>
    <w:basedOn w:val="Annotationtext"/>
    <w:pPr/>
    <w:rPr>
      <w:b/>
      <w:bCs/>
    </w:rPr>
  </w:style>
  <w:style w:type="paragraph" w:styleId="BalloonText">
    <w:name w:val="Balloon Text"/>
    <w:basedOn w:val="Normal"/>
    <w:pPr>
      <w:spacing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2013-12-19T15:41:00Z</dcterms:created>
  <dc:creator>i.siciliani</dc:creator>
  <dc:language>it-IT</dc:language>
  <cp:lastModifiedBy>Inchingolo Francesca</cp:lastModifiedBy>
  <cp:lastPrinted>2018-02-28T15:30:00Z</cp:lastPrinted>
  <dcterms:modified xsi:type="dcterms:W3CDTF">2021-04-20T10:31:00Z</dcterms:modified>
  <cp:revision>26</cp:revision>
</cp:coreProperties>
</file>